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9F" w:rsidRDefault="00E1469F" w:rsidP="00E1469F">
      <w:pPr>
        <w:pStyle w:val="ConsPlusTitle"/>
        <w:jc w:val="right"/>
        <w:outlineLvl w:val="1"/>
        <w:rPr>
          <w:rFonts w:ascii="Times New Roman" w:hAnsi="Times New Roman" w:cs="Times New Roman"/>
        </w:rPr>
      </w:pPr>
      <w:r>
        <w:rPr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 w:rsidRPr="001E4804">
        <w:rPr>
          <w:rFonts w:ascii="Times New Roman" w:hAnsi="Times New Roman" w:cs="Times New Roman"/>
        </w:rPr>
        <w:t>Приложение</w:t>
      </w:r>
      <w:r w:rsidRPr="001E4804">
        <w:rPr>
          <w:rFonts w:ascii="Times New Roman" w:hAnsi="Times New Roman" w:cs="Times New Roman"/>
        </w:rPr>
        <w:br/>
        <w:t>к постановлению Правительства</w:t>
      </w:r>
      <w:r w:rsidRPr="001E4804">
        <w:rPr>
          <w:rFonts w:ascii="Times New Roman" w:hAnsi="Times New Roman" w:cs="Times New Roman"/>
        </w:rPr>
        <w:br/>
        <w:t>Ханты-Мансийского</w:t>
      </w:r>
      <w:r>
        <w:rPr>
          <w:rFonts w:ascii="Times New Roman" w:hAnsi="Times New Roman" w:cs="Times New Roman"/>
        </w:rPr>
        <w:br/>
        <w:t>автономного округа - Югры</w:t>
      </w:r>
      <w:r>
        <w:rPr>
          <w:rFonts w:ascii="Times New Roman" w:hAnsi="Times New Roman" w:cs="Times New Roman"/>
        </w:rPr>
        <w:br/>
        <w:t>от 30</w:t>
      </w:r>
      <w:r w:rsidRPr="001E4804">
        <w:rPr>
          <w:rFonts w:ascii="Times New Roman" w:hAnsi="Times New Roman" w:cs="Times New Roman"/>
        </w:rPr>
        <w:t xml:space="preserve"> декабря 202</w:t>
      </w:r>
      <w:r>
        <w:rPr>
          <w:rFonts w:ascii="Times New Roman" w:hAnsi="Times New Roman" w:cs="Times New Roman"/>
        </w:rPr>
        <w:t>5 года N 59</w:t>
      </w:r>
      <w:r w:rsidRPr="001E4804">
        <w:rPr>
          <w:rFonts w:ascii="Times New Roman" w:hAnsi="Times New Roman" w:cs="Times New Roman"/>
        </w:rPr>
        <w:t>2-п</w:t>
      </w:r>
    </w:p>
    <w:p w:rsidR="00E1469F" w:rsidRDefault="00E1469F" w:rsidP="00E1469F">
      <w:pPr>
        <w:pStyle w:val="ConsPlusTitle"/>
        <w:jc w:val="right"/>
        <w:outlineLvl w:val="1"/>
        <w:rPr>
          <w:rFonts w:ascii="Times New Roman" w:hAnsi="Times New Roman" w:cs="Times New Roman"/>
        </w:rPr>
      </w:pPr>
    </w:p>
    <w:p w:rsidR="00F72E5B" w:rsidRDefault="00F72E5B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F72E5B" w:rsidRDefault="00F72E5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F72E5B" w:rsidRDefault="00997773">
      <w:pPr>
        <w:pStyle w:val="ConsPlusNormal"/>
        <w:jc w:val="right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7</w:t>
      </w:r>
    </w:p>
    <w:p w:rsidR="00F72E5B" w:rsidRDefault="0099777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2522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Целевые значения критериев доступности и качества медицинской помощи, оказываемой в ходе Территориальной программы</w:t>
      </w:r>
    </w:p>
    <w:p w:rsidR="00F72E5B" w:rsidRDefault="00F72E5B">
      <w:pPr>
        <w:pStyle w:val="ConsPlusNormal"/>
        <w:jc w:val="center"/>
        <w:rPr>
          <w:color w:val="000000" w:themeColor="text1"/>
          <w:sz w:val="28"/>
          <w:szCs w:val="28"/>
        </w:rPr>
      </w:pPr>
    </w:p>
    <w:tbl>
      <w:tblPr>
        <w:tblStyle w:val="af0"/>
        <w:tblW w:w="9101" w:type="dxa"/>
        <w:tblLayout w:type="fixed"/>
        <w:tblLook w:val="04A0" w:firstRow="1" w:lastRow="0" w:firstColumn="1" w:lastColumn="0" w:noHBand="0" w:noVBand="1"/>
      </w:tblPr>
      <w:tblGrid>
        <w:gridCol w:w="704"/>
        <w:gridCol w:w="4524"/>
        <w:gridCol w:w="1265"/>
        <w:gridCol w:w="847"/>
        <w:gridCol w:w="847"/>
        <w:gridCol w:w="914"/>
      </w:tblGrid>
      <w:tr w:rsidR="00F72E5B">
        <w:tc>
          <w:tcPr>
            <w:tcW w:w="704" w:type="dxa"/>
            <w:vMerge w:val="restart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N п/п</w:t>
            </w:r>
          </w:p>
        </w:tc>
        <w:tc>
          <w:tcPr>
            <w:tcW w:w="4524" w:type="dxa"/>
            <w:vMerge w:val="restart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Наименование критерия</w:t>
            </w:r>
          </w:p>
        </w:tc>
        <w:tc>
          <w:tcPr>
            <w:tcW w:w="1265" w:type="dxa"/>
            <w:vMerge w:val="restart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2608" w:type="dxa"/>
            <w:gridSpan w:val="3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Целевое значение</w:t>
            </w:r>
          </w:p>
        </w:tc>
      </w:tr>
      <w:tr w:rsidR="00F72E5B">
        <w:tc>
          <w:tcPr>
            <w:tcW w:w="704" w:type="dxa"/>
            <w:vMerge/>
          </w:tcPr>
          <w:p w:rsidR="00F72E5B" w:rsidRDefault="00F72E5B">
            <w:pPr>
              <w:pStyle w:val="ConsPlusNormal"/>
            </w:pPr>
          </w:p>
        </w:tc>
        <w:tc>
          <w:tcPr>
            <w:tcW w:w="4524" w:type="dxa"/>
            <w:vMerge/>
          </w:tcPr>
          <w:p w:rsidR="00F72E5B" w:rsidRDefault="00F72E5B">
            <w:pPr>
              <w:pStyle w:val="ConsPlusNormal"/>
            </w:pPr>
          </w:p>
        </w:tc>
        <w:tc>
          <w:tcPr>
            <w:tcW w:w="1265" w:type="dxa"/>
            <w:vMerge/>
          </w:tcPr>
          <w:p w:rsidR="00F72E5B" w:rsidRDefault="00F72E5B">
            <w:pPr>
              <w:pStyle w:val="ConsPlusNormal"/>
            </w:pP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2026 год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2027 год</w:t>
            </w:r>
          </w:p>
        </w:tc>
        <w:tc>
          <w:tcPr>
            <w:tcW w:w="91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2028 год</w:t>
            </w:r>
          </w:p>
        </w:tc>
      </w:tr>
      <w:tr w:rsidR="00F72E5B">
        <w:tc>
          <w:tcPr>
            <w:tcW w:w="9101" w:type="dxa"/>
            <w:gridSpan w:val="6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I. Критерии доступности медицинской помощи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Удовлетворенность населения доступностью медицинской помощи, в том числе</w:t>
            </w:r>
          </w:p>
        </w:tc>
        <w:tc>
          <w:tcPr>
            <w:tcW w:w="1265" w:type="dxa"/>
            <w:vMerge w:val="restart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процент от числа опрошенных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61,8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61,8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62,3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городского населения</w:t>
            </w:r>
          </w:p>
        </w:tc>
        <w:tc>
          <w:tcPr>
            <w:tcW w:w="1265" w:type="dxa"/>
            <w:vMerge/>
          </w:tcPr>
          <w:p w:rsidR="00F72E5B" w:rsidRDefault="00F72E5B">
            <w:pPr>
              <w:pStyle w:val="ConsPlusNormal"/>
            </w:pP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61,3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61,8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62,3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сельского населения</w:t>
            </w:r>
          </w:p>
        </w:tc>
        <w:tc>
          <w:tcPr>
            <w:tcW w:w="1265" w:type="dxa"/>
            <w:vMerge/>
          </w:tcPr>
          <w:p w:rsidR="00F72E5B" w:rsidRDefault="00F72E5B">
            <w:pPr>
              <w:pStyle w:val="ConsPlusNormal"/>
            </w:pP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61,3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61,8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62,3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5,8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5,8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5,8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соответствии с Территориальной программой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1,6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1,6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1,6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Число пациентов, которым оказана паллиативная медицинская помощь по месту их фактического пребывания за пределами автономного округа, на территории которого указанные пациенты зарегистрированы по месту жительства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единиц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Число пациентов, зарегистрированных в автономном округе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единиц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 xml:space="preserve"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</w:t>
            </w:r>
            <w:r>
              <w:rPr>
                <w:color w:val="000000"/>
                <w:sz w:val="20"/>
              </w:rPr>
              <w:lastRenderedPageBreak/>
              <w:t>неинфекционными заболеваниями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70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70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70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ходе диспансерного наблюдения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детей в возрасте от 2 до 17 лет с диагнозом «сахарный диабет»,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83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Число случаев лечения в стационарных условиях на 1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единиц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Оперативная активность на 1 занятую должность врача хирургической специальности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единиц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197</w:t>
            </w:r>
          </w:p>
        </w:tc>
      </w:tr>
      <w:tr w:rsidR="00F72E5B">
        <w:tc>
          <w:tcPr>
            <w:tcW w:w="9101" w:type="dxa"/>
            <w:gridSpan w:val="6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II. Критерии качества медицинской помощи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впервые выявленных заболеваний при профилактических медицинских осмотрах, в том числе в ходе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2,6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впервые выявленных онкологических заболеваний при профилактических медицинских осмотрах, в том числе в ходе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впервые выявленных онкологических заболеваний при профилактических медицинских осмотрах, в том числе в ходе диспансеризации, от общего количества лиц, прошедших указанные осмотры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0,29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0,3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12,4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12,4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12,4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 xml:space="preserve">Доля пациентов с острым и повторным инфарктом миокарда, которым выездной </w:t>
            </w:r>
            <w:r>
              <w:rPr>
                <w:color w:val="000000"/>
                <w:sz w:val="20"/>
              </w:rPr>
              <w:lastRenderedPageBreak/>
              <w:t>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95,1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95,1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95,1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95,1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ПСО или РСЦ пациентов с острыми цереброваскулярными болезнями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50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50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50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ПСО или РСЦ в первые 6 часов от начала заболевания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ПСО и РСЦ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пациентов, получающих обезболивание в ходе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пациентов, получающих лечебное (энтеральное) питание при оказании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93,5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лиц репродуктивного возраста, прошедших диспансеризацию для оценки репродуктивного здоровья женщин и мужчин в том числе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16.1.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мужчин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15,2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16,8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16.2.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22,78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25,2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Количество обоснованных жалоб, в том числе на несоблюдение сроков ожидания оказания и на отказ в оказании медицинской помощи, предоставляемой в ходе Территориальной программой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единиц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всего – не более 30, на отказ – 0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всего – не более 30, на отказ – 0</w:t>
            </w:r>
          </w:p>
        </w:tc>
        <w:tc>
          <w:tcPr>
            <w:tcW w:w="91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всего – не более 30, на отказ – 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«Женское бесплодие»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27,2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27,5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Охват диспансерным наблюдением граждан, состоящих на учете в медицинской организации с диагнозом «хроническая обструктивная болезнь легких», процентов в год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 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70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70</w:t>
            </w:r>
          </w:p>
        </w:tc>
        <w:tc>
          <w:tcPr>
            <w:tcW w:w="91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70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 диагнозом «хроническая сердечная недостаточность», находящихся под диспансерным наблюдением, получающих лекарственное обеспечение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36,5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36,5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Охват диспансерным наблюдением граждан, состоящих на учете в медицинской организации с диагнозом «гипертоническая болезнь», процентов в год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Охват диспансерным наблюдением граждан, состоящих на учете в медицинской организации с диагнозом «сахарный диабет», процентов в год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единиц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коэффициент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Направлено к врачу-гериатру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10 %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10 %</w:t>
            </w:r>
          </w:p>
        </w:tc>
        <w:tc>
          <w:tcPr>
            <w:tcW w:w="91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10 %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старше 65 лет, взятых на диспансерное наблюдение с диагнозом «Остеопороз с патологическим переломом» (код МКБ-10 – М80), «Отеопороз безпатологического перелома» (код МКБ-10 – М81)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90 % 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90 %</w:t>
            </w:r>
          </w:p>
        </w:tc>
        <w:tc>
          <w:tcPr>
            <w:tcW w:w="91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90 %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 xml:space="preserve">Доля пациентов старше 65 лет, госпитализированных с низкоэнергетическим переломом </w:t>
            </w:r>
            <w:proofErr w:type="gramStart"/>
            <w:r>
              <w:rPr>
                <w:color w:val="000000"/>
                <w:sz w:val="20"/>
              </w:rPr>
              <w:t>проксимального</w:t>
            </w:r>
            <w:proofErr w:type="gramEnd"/>
            <w:r>
              <w:rPr>
                <w:color w:val="000000"/>
                <w:sz w:val="20"/>
              </w:rPr>
              <w:t xml:space="preserve"> одела бедренной кости, которым установлен сопутствующий диагноз остеопороз и назначена базисная и </w:t>
            </w:r>
            <w:r>
              <w:rPr>
                <w:color w:val="000000"/>
                <w:sz w:val="20"/>
              </w:rPr>
              <w:lastRenderedPageBreak/>
              <w:t>патогенетическая терапия остеопороза в соответствии с клиническими рекомендациями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95 % </w:t>
            </w:r>
          </w:p>
        </w:tc>
        <w:tc>
          <w:tcPr>
            <w:tcW w:w="847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95 % </w:t>
            </w:r>
          </w:p>
        </w:tc>
        <w:tc>
          <w:tcPr>
            <w:tcW w:w="91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не менее 95 % 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265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72E5B">
        <w:tc>
          <w:tcPr>
            <w:tcW w:w="9101" w:type="dxa"/>
            <w:gridSpan w:val="6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III. Критерии оценки эффективности деятельности медицинских организаций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Выполнение функции врачебной должности, всего, в том числе в медицинских организациях:</w:t>
            </w:r>
          </w:p>
        </w:tc>
        <w:tc>
          <w:tcPr>
            <w:tcW w:w="1265" w:type="dxa"/>
            <w:vMerge w:val="restart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число амбулаторных посещений в год на 1 занятую должность (без учета среднего медицинского персонала, занимающего врачебные должности)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3300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3300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3300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расположенных в городской местности</w:t>
            </w:r>
          </w:p>
        </w:tc>
        <w:tc>
          <w:tcPr>
            <w:tcW w:w="1265" w:type="dxa"/>
            <w:vMerge/>
          </w:tcPr>
          <w:p w:rsidR="00F72E5B" w:rsidRDefault="00F72E5B">
            <w:pPr>
              <w:pStyle w:val="ConsPlusNormal"/>
            </w:pP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3310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3310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3310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расположенных в сельской местности</w:t>
            </w:r>
          </w:p>
        </w:tc>
        <w:tc>
          <w:tcPr>
            <w:tcW w:w="1265" w:type="dxa"/>
            <w:vMerge/>
          </w:tcPr>
          <w:p w:rsidR="00F72E5B" w:rsidRDefault="00F72E5B">
            <w:pPr>
              <w:pStyle w:val="ConsPlusNormal"/>
            </w:pP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3170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3170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3170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Среднегодовая занятость койки, всего, в том числе в медицинских организациях:</w:t>
            </w:r>
          </w:p>
        </w:tc>
        <w:tc>
          <w:tcPr>
            <w:tcW w:w="1265" w:type="dxa"/>
            <w:vMerge w:val="restart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дней в году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330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в городской местности</w:t>
            </w:r>
          </w:p>
        </w:tc>
        <w:tc>
          <w:tcPr>
            <w:tcW w:w="1265" w:type="dxa"/>
            <w:vMerge/>
          </w:tcPr>
          <w:p w:rsidR="00F72E5B" w:rsidRDefault="00F72E5B">
            <w:pPr>
              <w:pStyle w:val="ConsPlusNormal"/>
            </w:pP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333</w:t>
            </w:r>
          </w:p>
        </w:tc>
      </w:tr>
      <w:tr w:rsidR="00F72E5B">
        <w:tc>
          <w:tcPr>
            <w:tcW w:w="704" w:type="dxa"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4524" w:type="dxa"/>
          </w:tcPr>
          <w:p w:rsidR="00F72E5B" w:rsidRDefault="00997773">
            <w:pPr>
              <w:pStyle w:val="ConsPlusNormal"/>
            </w:pPr>
            <w:r>
              <w:rPr>
                <w:color w:val="000000"/>
                <w:sz w:val="20"/>
              </w:rPr>
              <w:t>в сельской местности</w:t>
            </w:r>
          </w:p>
        </w:tc>
        <w:tc>
          <w:tcPr>
            <w:tcW w:w="1265" w:type="dxa"/>
            <w:vMerge/>
          </w:tcPr>
          <w:p w:rsidR="00F72E5B" w:rsidRDefault="00F72E5B">
            <w:pPr>
              <w:pStyle w:val="ConsPlusNormal"/>
            </w:pP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847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914" w:type="dxa"/>
            <w:noWrap/>
          </w:tcPr>
          <w:p w:rsidR="00F72E5B" w:rsidRDefault="00997773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>315</w:t>
            </w:r>
          </w:p>
        </w:tc>
      </w:tr>
    </w:tbl>
    <w:p w:rsidR="00F72E5B" w:rsidRDefault="00F72E5B">
      <w:pPr>
        <w:pStyle w:val="ConsPlusNormal"/>
        <w:jc w:val="right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1469F" w:rsidRDefault="00E1469F" w:rsidP="00E1469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sectPr w:rsidR="00E1469F" w:rsidSect="00E1469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55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9D" w:rsidRDefault="000C699D">
      <w:pPr>
        <w:pStyle w:val="ConsPlusNormal"/>
      </w:pPr>
      <w:r>
        <w:separator/>
      </w:r>
    </w:p>
  </w:endnote>
  <w:endnote w:type="continuationSeparator" w:id="0">
    <w:p w:rsidR="000C699D" w:rsidRDefault="000C699D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F3" w:rsidRDefault="008C65F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F3" w:rsidRDefault="008C65F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9D" w:rsidRDefault="000C699D">
      <w:pPr>
        <w:pStyle w:val="ConsPlusNormal"/>
      </w:pPr>
      <w:r>
        <w:separator/>
      </w:r>
    </w:p>
  </w:footnote>
  <w:footnote w:type="continuationSeparator" w:id="0">
    <w:p w:rsidR="000C699D" w:rsidRDefault="000C699D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F3" w:rsidRDefault="008C65F3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E1469F">
      <w:rPr>
        <w:noProof/>
      </w:rPr>
      <w:t>5</w:t>
    </w:r>
    <w:r>
      <w:fldChar w:fldCharType="end"/>
    </w:r>
  </w:p>
  <w:p w:rsidR="008C65F3" w:rsidRDefault="008C65F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F3" w:rsidRDefault="008C65F3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E1469F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5B"/>
    <w:rsid w:val="000C699D"/>
    <w:rsid w:val="008C65F3"/>
    <w:rsid w:val="00997773"/>
    <w:rsid w:val="00BC7B08"/>
    <w:rsid w:val="00E1469F"/>
    <w:rsid w:val="00F7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E4C3D-9EC2-49B1-8307-072C28C6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Обычный (веб)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firstLine="709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28.12.2024 N 567-п
(ред. от 08.09.2025)
"О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2025 год и на плановы</vt:lpstr>
    </vt:vector>
  </TitlesOfParts>
  <Company>КонсультантПлюс Версия 4025.00.30</Company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28.12.2024 N 567-п
(ред. от 08.09.2025)
"О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2025 год и на плановый период 2026 и 2027 годов"</dc:title>
  <dc:creator>Звягина Ольга Александровна</dc:creator>
  <cp:lastModifiedBy>Эльвира</cp:lastModifiedBy>
  <cp:revision>4</cp:revision>
  <dcterms:created xsi:type="dcterms:W3CDTF">2026-01-13T05:11:00Z</dcterms:created>
  <dcterms:modified xsi:type="dcterms:W3CDTF">2026-01-13T05:53:00Z</dcterms:modified>
</cp:coreProperties>
</file>